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22" w:rsidRPr="00C824DC" w:rsidRDefault="00056EB0" w:rsidP="008C08EE">
      <w:pPr>
        <w:tabs>
          <w:tab w:val="left" w:pos="90"/>
        </w:tabs>
        <w:ind w:left="540" w:hanging="180"/>
        <w:jc w:val="both"/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noProof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5952490</wp:posOffset>
            </wp:positionH>
            <wp:positionV relativeFrom="paragraph">
              <wp:posOffset>-336550</wp:posOffset>
            </wp:positionV>
            <wp:extent cx="1771650" cy="695325"/>
            <wp:effectExtent l="19050" t="0" r="0" b="0"/>
            <wp:wrapNone/>
            <wp:docPr id="13" name="Picture 1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BBA">
        <w:rPr>
          <w:rFonts w:asciiTheme="majorHAnsi" w:hAnsiTheme="majorHAnsi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4.9pt;margin-top:-10.3pt;width:489.25pt;height:31.1pt;z-index:251663360;mso-wrap-distance-left:2.88pt;mso-wrap-distance-top:2.88pt;mso-wrap-distance-right:2.88pt;mso-wrap-distance-bottom:2.88pt;mso-position-horizontal-relative:text;mso-position-vertical-relative:text" fillcolor="#ffc000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1;mso-column-margin:5.76pt" inset="2.88pt,2.88pt,2.88pt,2.88pt">
              <w:txbxContent>
                <w:p w:rsidR="00073F22" w:rsidRPr="00D94BBA" w:rsidRDefault="00291D93" w:rsidP="00073F22">
                  <w:pPr>
                    <w:jc w:val="both"/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</w:pPr>
                  <w:proofErr w:type="gramStart"/>
                  <w:r w:rsidRPr="00D94BBA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>April</w:t>
                  </w:r>
                  <w:r w:rsidR="008C08EE" w:rsidRPr="00D94BBA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 xml:space="preserve">  |</w:t>
                  </w:r>
                  <w:proofErr w:type="gramEnd"/>
                  <w:r w:rsidR="008C08EE" w:rsidRPr="00D94BBA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 xml:space="preserve"> Au Fait</w:t>
                  </w:r>
                  <w:r w:rsidR="000C766A" w:rsidRPr="00D94BBA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 xml:space="preserve"> Fincare</w:t>
                  </w:r>
                  <w:r w:rsidR="008C08EE" w:rsidRPr="00D94BBA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 xml:space="preserve"> – News Article</w:t>
                  </w:r>
                  <w:r w:rsidR="00073F22" w:rsidRPr="00D94BBA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 xml:space="preserve"> | 2016</w:t>
                  </w:r>
                  <w:r w:rsidR="00056EB0">
                    <w:rPr>
                      <w:rFonts w:ascii="Arial" w:hAnsi="Arial" w:cs="Arial"/>
                      <w:b/>
                      <w:color w:val="002060"/>
                      <w:sz w:val="36"/>
                      <w:szCs w:val="36"/>
                    </w:rPr>
                    <w:t xml:space="preserve">     </w:t>
                  </w:r>
                </w:p>
                <w:p w:rsidR="00073F22" w:rsidRPr="00291D93" w:rsidRDefault="00073F22" w:rsidP="00073F22">
                  <w:pPr>
                    <w:jc w:val="both"/>
                    <w:rPr>
                      <w:rFonts w:ascii="Arial" w:hAnsi="Arial" w:cs="Arial"/>
                      <w:b/>
                      <w:color w:val="002060"/>
                    </w:rPr>
                  </w:pPr>
                  <w:r w:rsidRPr="00D94BBA">
                    <w:rPr>
                      <w:rFonts w:ascii="Arial" w:hAnsi="Arial" w:cs="Arial"/>
                      <w:b/>
                      <w:noProof/>
                      <w:color w:val="002060"/>
                    </w:rPr>
                    <w:drawing>
                      <wp:inline distT="0" distB="0" distL="0" distR="0">
                        <wp:extent cx="1148269" cy="426874"/>
                        <wp:effectExtent l="19050" t="0" r="0" b="0"/>
                        <wp:docPr id="1" name="Picture 1" descr="C:\Users\hp1\Desktop\DESKTOP DATA SANA\Picture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1\Desktop\DESKTOP DATA SANA\Picture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387" cy="442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F22" w:rsidRPr="00291D93" w:rsidRDefault="00073F22" w:rsidP="00073F22">
                  <w:pPr>
                    <w:jc w:val="both"/>
                    <w:rPr>
                      <w:rFonts w:ascii="Arial" w:hAnsi="Arial" w:cs="Arial"/>
                      <w:b/>
                      <w:color w:val="002060"/>
                    </w:rPr>
                  </w:pPr>
                </w:p>
              </w:txbxContent>
            </v:textbox>
            <w10:wrap anchory="page"/>
          </v:shape>
        </w:pict>
      </w:r>
      <w:r w:rsidR="00291D93">
        <w:rPr>
          <w:rFonts w:asciiTheme="majorHAnsi" w:hAnsiTheme="majorHAnsi"/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56.65pt;margin-top:25.3pt;width:631pt;height:0;z-index:251658240;mso-position-horizontal-relative:text;mso-position-vertical-relative:text" o:connectortype="straight" strokecolor="#ffc000" strokeweight="3pt">
            <v:shadow type="perspective" color="#974706 [1609]" opacity=".5" offset="1pt" offset2="-1pt"/>
          </v:shape>
        </w:pict>
      </w:r>
      <w:r w:rsidR="00073F22">
        <w:rPr>
          <w:rFonts w:asciiTheme="majorHAnsi" w:hAnsiTheme="majorHAnsi"/>
          <w:b/>
          <w:noProof/>
          <w:sz w:val="30"/>
          <w:szCs w:val="30"/>
        </w:rPr>
        <w:pict>
          <v:shape id="_x0000_s1030" type="#_x0000_t202" style="position:absolute;left:0;text-align:left;margin-left:268.6pt;margin-top:-38.5pt;width:179.15pt;height:35.2pt;z-index:251662336;mso-wrap-distance-left:2.88pt;mso-wrap-distance-top:2.88pt;mso-wrap-distance-right:2.88pt;mso-wrap-distance-bottom:2.88pt;mso-position-horizontal-relative:text;mso-position-vertical-relative:text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/>
            <v:textbox style="mso-next-textbox:#_x0000_s1030;mso-column-margin:5.76pt" inset="2.88pt,2.88pt,2.88pt,2.88pt">
              <w:txbxContent>
                <w:p w:rsidR="00073F22" w:rsidRPr="00345F66" w:rsidRDefault="00073F22" w:rsidP="00073F22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Monthly  |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Newsletter  | 2016</w:t>
                  </w:r>
                </w:p>
              </w:txbxContent>
            </v:textbox>
            <w10:wrap anchory="page"/>
          </v:shape>
        </w:pict>
      </w:r>
    </w:p>
    <w:p w:rsidR="00073F22" w:rsidRPr="00056EB0" w:rsidRDefault="00073F22" w:rsidP="008C08EE">
      <w:pPr>
        <w:pStyle w:val="Heading1"/>
        <w:shd w:val="clear" w:color="auto" w:fill="FFFFFF"/>
        <w:spacing w:before="0" w:beforeAutospacing="0" w:after="153" w:afterAutospacing="0"/>
        <w:jc w:val="both"/>
        <w:textAlignment w:val="baseline"/>
        <w:rPr>
          <w:rFonts w:asciiTheme="majorHAnsi" w:hAnsiTheme="majorHAnsi"/>
          <w:color w:val="FF0000"/>
          <w:sz w:val="36"/>
          <w:szCs w:val="36"/>
        </w:rPr>
      </w:pPr>
      <w:r w:rsidRPr="00056EB0">
        <w:rPr>
          <w:rFonts w:asciiTheme="majorHAnsi" w:hAnsiTheme="majorHAnsi" w:cs="Arial"/>
          <w:color w:val="FF0000"/>
          <w:sz w:val="36"/>
          <w:szCs w:val="36"/>
        </w:rPr>
        <w:t>Office space demand up 19% in Q1,</w:t>
      </w:r>
      <w:r w:rsidR="00B53F8F" w:rsidRPr="00056EB0">
        <w:rPr>
          <w:rFonts w:asciiTheme="majorHAnsi" w:hAnsiTheme="majorHAnsi" w:cs="Arial"/>
          <w:color w:val="FF0000"/>
          <w:sz w:val="36"/>
          <w:szCs w:val="36"/>
        </w:rPr>
        <w:t xml:space="preserve"> </w:t>
      </w:r>
      <w:r w:rsidRPr="00056EB0">
        <w:rPr>
          <w:rFonts w:asciiTheme="majorHAnsi" w:hAnsiTheme="majorHAnsi" w:cs="Arial"/>
          <w:color w:val="FF0000"/>
          <w:sz w:val="36"/>
          <w:szCs w:val="36"/>
        </w:rPr>
        <w:t>the vacancy level lowest in 10 quarters: Cushman &amp; Wakefield</w:t>
      </w:r>
    </w:p>
    <w:p w:rsidR="00073F22" w:rsidRPr="00B53F8F" w:rsidRDefault="00073F22" w:rsidP="00291D93">
      <w:pPr>
        <w:pStyle w:val="Caption1"/>
        <w:shd w:val="clear" w:color="auto" w:fill="FFFFFF"/>
        <w:spacing w:before="0" w:beforeAutospacing="0" w:after="138" w:afterAutospacing="0" w:line="318" w:lineRule="atLeast"/>
        <w:textAlignment w:val="baseline"/>
        <w:rPr>
          <w:rFonts w:ascii="Arial" w:hAnsi="Arial" w:cs="Arial"/>
          <w:color w:val="984806" w:themeColor="accent6" w:themeShade="80"/>
        </w:rPr>
        <w:sectPr w:rsidR="00073F22" w:rsidRPr="00B53F8F" w:rsidSect="00073F22">
          <w:pgSz w:w="12240" w:h="15840"/>
          <w:pgMar w:top="245" w:right="907" w:bottom="245" w:left="346" w:header="720" w:footer="720" w:gutter="0"/>
          <w:cols w:space="720"/>
          <w:docGrid w:linePitch="360"/>
        </w:sectPr>
      </w:pPr>
      <w:r w:rsidRPr="00B53F8F">
        <w:rPr>
          <w:rStyle w:val="subtle"/>
          <w:rFonts w:ascii="Arial" w:hAnsi="Arial" w:cs="Arial"/>
          <w:b/>
          <w:bCs/>
          <w:i/>
          <w:iCs/>
          <w:color w:val="984806" w:themeColor="accent6" w:themeShade="80"/>
          <w:bdr w:val="none" w:sz="0" w:space="0" w:color="auto" w:frame="1"/>
          <w:shd w:val="clear" w:color="auto" w:fill="FFFFFF"/>
        </w:rPr>
        <w:t xml:space="preserve">The supply across the eight cities witnessed a huge surge of 41% to 11.1 million sq ft, </w:t>
      </w:r>
      <w:r w:rsidR="00B53F8F">
        <w:rPr>
          <w:rStyle w:val="subtle"/>
          <w:rFonts w:ascii="Arial" w:hAnsi="Arial" w:cs="Arial"/>
          <w:b/>
          <w:bCs/>
          <w:i/>
          <w:iCs/>
          <w:color w:val="984806" w:themeColor="accent6" w:themeShade="80"/>
          <w:bdr w:val="none" w:sz="0" w:space="0" w:color="auto" w:frame="1"/>
          <w:shd w:val="clear" w:color="auto" w:fill="FFFFFF"/>
        </w:rPr>
        <w:t>the majority</w:t>
      </w:r>
      <w:r w:rsidRPr="00B53F8F">
        <w:rPr>
          <w:rStyle w:val="subtle"/>
          <w:rFonts w:ascii="Arial" w:hAnsi="Arial" w:cs="Arial"/>
          <w:b/>
          <w:bCs/>
          <w:i/>
          <w:iCs/>
          <w:color w:val="984806" w:themeColor="accent6" w:themeShade="80"/>
          <w:bdr w:val="none" w:sz="0" w:space="0" w:color="auto" w:frame="1"/>
          <w:shd w:val="clear" w:color="auto" w:fill="FFFFFF"/>
        </w:rPr>
        <w:t xml:space="preserve"> noted in </w:t>
      </w:r>
      <w:proofErr w:type="spellStart"/>
      <w:r w:rsidRPr="00B53F8F">
        <w:rPr>
          <w:rStyle w:val="subtle"/>
          <w:rFonts w:ascii="Arial" w:hAnsi="Arial" w:cs="Arial"/>
          <w:b/>
          <w:bCs/>
          <w:i/>
          <w:iCs/>
          <w:color w:val="984806" w:themeColor="accent6" w:themeShade="80"/>
          <w:bdr w:val="none" w:sz="0" w:space="0" w:color="auto" w:frame="1"/>
          <w:shd w:val="clear" w:color="auto" w:fill="FFFFFF"/>
        </w:rPr>
        <w:t>Bengaluru</w:t>
      </w:r>
      <w:proofErr w:type="spellEnd"/>
      <w:r w:rsidRPr="00B53F8F">
        <w:rPr>
          <w:rStyle w:val="subtle"/>
          <w:rFonts w:ascii="Arial" w:hAnsi="Arial" w:cs="Arial"/>
          <w:b/>
          <w:bCs/>
          <w:i/>
          <w:iCs/>
          <w:color w:val="984806" w:themeColor="accent6" w:themeShade="80"/>
          <w:bdr w:val="none" w:sz="0" w:space="0" w:color="auto" w:frame="1"/>
          <w:shd w:val="clear" w:color="auto" w:fill="FFFFFF"/>
        </w:rPr>
        <w:t>, followed by Delhi-NCR and Hyderabad</w:t>
      </w:r>
      <w:r w:rsidR="000C766A">
        <w:rPr>
          <w:rStyle w:val="subtle"/>
          <w:rFonts w:ascii="Arial" w:hAnsi="Arial" w:cs="Arial"/>
          <w:b/>
          <w:bCs/>
          <w:i/>
          <w:iCs/>
          <w:color w:val="984806" w:themeColor="accent6" w:themeShade="80"/>
          <w:bdr w:val="none" w:sz="0" w:space="0" w:color="auto" w:frame="1"/>
          <w:shd w:val="clear" w:color="auto" w:fill="FFFFFF"/>
        </w:rPr>
        <w:t>.</w:t>
      </w:r>
    </w:p>
    <w:p w:rsidR="008C08EE" w:rsidRDefault="00073F22" w:rsidP="008C08E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</w:rPr>
      </w:pPr>
      <w:r w:rsidRPr="00073F22">
        <w:rPr>
          <w:rFonts w:ascii="Times New Roman" w:eastAsia="Times New Roman" w:hAnsi="Times New Roman" w:cs="Times New Roman"/>
          <w:sz w:val="26"/>
          <w:szCs w:val="26"/>
        </w:rPr>
        <w:lastRenderedPageBreak/>
        <w:t>Following a strong fourth quarter of 2015, overall demand for office space in the first quarter of 2016 increased by 19% from a year ago to 11.7 million sq ft across the top eight cities, said property consultants Cushman &amp; Wakefield.</w:t>
      </w:r>
      <w:r w:rsidRPr="00073F22">
        <w:rPr>
          <w:rFonts w:ascii="Times New Roman" w:eastAsia="Times New Roman" w:hAnsi="Times New Roman" w:cs="Times New Roman"/>
          <w:sz w:val="26"/>
        </w:rPr>
        <w:t> </w:t>
      </w:r>
      <w:r w:rsidR="00B53F8F">
        <w:rPr>
          <w:noProof/>
        </w:rPr>
        <w:drawing>
          <wp:inline distT="0" distB="0" distL="0" distR="0">
            <wp:extent cx="3149425" cy="2362200"/>
            <wp:effectExtent l="38100" t="57150" r="108125" b="95250"/>
            <wp:docPr id="7" name="Picture 1" descr="http://economictimes.indiatimes.com/photo/51892687.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omictimes.indiatimes.com/photo/51892687.cm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97" cy="23683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73F22">
        <w:rPr>
          <w:rFonts w:ascii="Times New Roman" w:eastAsia="Times New Roman" w:hAnsi="Times New Roman" w:cs="Times New Roman"/>
          <w:sz w:val="26"/>
          <w:szCs w:val="26"/>
        </w:rPr>
        <w:br/>
      </w:r>
      <w:r w:rsidRPr="00073F22">
        <w:rPr>
          <w:rFonts w:ascii="Times New Roman" w:eastAsia="Times New Roman" w:hAnsi="Times New Roman" w:cs="Times New Roman"/>
          <w:sz w:val="26"/>
          <w:szCs w:val="26"/>
        </w:rPr>
        <w:br/>
        <w:t xml:space="preserve">The supply across the eight cities witnessed a huge surge of 41% to 11.1 million sq ft, </w:t>
      </w:r>
      <w:r w:rsidR="008C08EE">
        <w:rPr>
          <w:rFonts w:ascii="Times New Roman" w:eastAsia="Times New Roman" w:hAnsi="Times New Roman" w:cs="Times New Roman"/>
          <w:sz w:val="26"/>
          <w:szCs w:val="26"/>
        </w:rPr>
        <w:t>the majority</w:t>
      </w:r>
      <w:r w:rsidRPr="00073F22">
        <w:rPr>
          <w:rFonts w:ascii="Times New Roman" w:eastAsia="Times New Roman" w:hAnsi="Times New Roman" w:cs="Times New Roman"/>
          <w:sz w:val="26"/>
          <w:szCs w:val="26"/>
        </w:rPr>
        <w:t xml:space="preserve"> noted in </w:t>
      </w:r>
      <w:proofErr w:type="spellStart"/>
      <w:r w:rsidRPr="00073F22">
        <w:rPr>
          <w:rFonts w:ascii="Times New Roman" w:eastAsia="Times New Roman" w:hAnsi="Times New Roman" w:cs="Times New Roman"/>
          <w:sz w:val="26"/>
          <w:szCs w:val="26"/>
        </w:rPr>
        <w:t>Bengaluru</w:t>
      </w:r>
      <w:proofErr w:type="spellEnd"/>
      <w:r w:rsidRPr="00073F22">
        <w:rPr>
          <w:rFonts w:ascii="Times New Roman" w:eastAsia="Times New Roman" w:hAnsi="Times New Roman" w:cs="Times New Roman"/>
          <w:sz w:val="26"/>
          <w:szCs w:val="26"/>
        </w:rPr>
        <w:t>, followed by Delhi-NCR and Hyderabad. Despite high infusion of supply and comparatively lower absorption, the overall vacancy across eight cities was seen at 17.12% at the end of March quarter - this has been the lowest vacancy level in 10 quarters.</w:t>
      </w:r>
      <w:r w:rsidRPr="00073F22">
        <w:rPr>
          <w:rFonts w:ascii="Times New Roman" w:eastAsia="Times New Roman" w:hAnsi="Times New Roman" w:cs="Times New Roman"/>
          <w:sz w:val="26"/>
        </w:rPr>
        <w:t> </w:t>
      </w:r>
    </w:p>
    <w:p w:rsidR="00291D93" w:rsidRDefault="008C08EE" w:rsidP="00056EB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073F22" w:rsidRPr="00073F22">
        <w:rPr>
          <w:rFonts w:ascii="Times New Roman" w:eastAsia="Times New Roman" w:hAnsi="Times New Roman" w:cs="Times New Roman"/>
          <w:sz w:val="26"/>
          <w:szCs w:val="26"/>
        </w:rPr>
        <w:t xml:space="preserve">Pre-commitments more than doubled compared to </w:t>
      </w:r>
      <w:r>
        <w:rPr>
          <w:rFonts w:ascii="Times New Roman" w:eastAsia="Times New Roman" w:hAnsi="Times New Roman" w:cs="Times New Roman"/>
          <w:sz w:val="26"/>
          <w:szCs w:val="26"/>
        </w:rPr>
        <w:t>the same quarter</w:t>
      </w:r>
      <w:r w:rsidR="00073F22" w:rsidRPr="00073F22">
        <w:rPr>
          <w:rFonts w:ascii="Times New Roman" w:eastAsia="Times New Roman" w:hAnsi="Times New Roman" w:cs="Times New Roman"/>
          <w:sz w:val="26"/>
          <w:szCs w:val="26"/>
        </w:rPr>
        <w:t xml:space="preserve"> last year and were noted at 4.6 million sq ft, representing 40% of the total demand. In order to sync real estate requirements with business growth strategy, a number of companies have committed space foreseeing limited availability of upcoming quality stock in select markets.</w:t>
      </w:r>
      <w:r w:rsidR="00073F22" w:rsidRPr="00073F22">
        <w:rPr>
          <w:rFonts w:ascii="Times New Roman" w:eastAsia="Times New Roman" w:hAnsi="Times New Roman" w:cs="Times New Roman"/>
          <w:sz w:val="26"/>
        </w:rPr>
        <w:t> </w:t>
      </w:r>
      <w:r w:rsidR="00073F22" w:rsidRPr="00073F22">
        <w:rPr>
          <w:rFonts w:ascii="Times New Roman" w:eastAsia="Times New Roman" w:hAnsi="Times New Roman" w:cs="Times New Roman"/>
          <w:sz w:val="26"/>
          <w:szCs w:val="26"/>
        </w:rPr>
        <w:br/>
      </w:r>
      <w:r w:rsidR="00073F22" w:rsidRPr="00073F22">
        <w:rPr>
          <w:rFonts w:ascii="Times New Roman" w:eastAsia="Times New Roman" w:hAnsi="Times New Roman" w:cs="Times New Roman"/>
          <w:sz w:val="26"/>
          <w:szCs w:val="26"/>
        </w:rPr>
        <w:br/>
        <w:t xml:space="preserve">Availability of quality space, competitive rentals, availability of talent and political stability </w:t>
      </w:r>
      <w:proofErr w:type="gramStart"/>
      <w:r w:rsidR="00073F22" w:rsidRPr="00073F22">
        <w:rPr>
          <w:rFonts w:ascii="Times New Roman" w:eastAsia="Times New Roman" w:hAnsi="Times New Roman" w:cs="Times New Roman"/>
          <w:sz w:val="26"/>
          <w:szCs w:val="26"/>
        </w:rPr>
        <w:t>have</w:t>
      </w:r>
      <w:proofErr w:type="gramEnd"/>
      <w:r w:rsidR="00073F22" w:rsidRPr="00073F22">
        <w:rPr>
          <w:rFonts w:ascii="Times New Roman" w:eastAsia="Times New Roman" w:hAnsi="Times New Roman" w:cs="Times New Roman"/>
          <w:sz w:val="26"/>
          <w:szCs w:val="26"/>
        </w:rPr>
        <w:t xml:space="preserve"> been major reasons that have </w:t>
      </w:r>
      <w:r w:rsidR="00073F22" w:rsidRPr="00073F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cemented </w:t>
      </w:r>
      <w:proofErr w:type="spellStart"/>
      <w:r w:rsidR="00073F22" w:rsidRPr="00073F22">
        <w:rPr>
          <w:rFonts w:ascii="Times New Roman" w:eastAsia="Times New Roman" w:hAnsi="Times New Roman" w:cs="Times New Roman"/>
          <w:sz w:val="26"/>
          <w:szCs w:val="26"/>
        </w:rPr>
        <w:t>Bengaluru's</w:t>
      </w:r>
      <w:proofErr w:type="spellEnd"/>
      <w:r w:rsidR="00073F22" w:rsidRPr="00073F22">
        <w:rPr>
          <w:rFonts w:ascii="Times New Roman" w:eastAsia="Times New Roman" w:hAnsi="Times New Roman" w:cs="Times New Roman"/>
          <w:sz w:val="26"/>
          <w:szCs w:val="26"/>
        </w:rPr>
        <w:t xml:space="preserve"> position as a </w:t>
      </w:r>
      <w:r w:rsidR="00874640">
        <w:rPr>
          <w:rFonts w:ascii="Times New Roman" w:eastAsia="Times New Roman" w:hAnsi="Times New Roman" w:cs="Times New Roman"/>
          <w:sz w:val="26"/>
          <w:szCs w:val="26"/>
        </w:rPr>
        <w:t xml:space="preserve">leader in the commercial office </w:t>
      </w:r>
      <w:r w:rsidR="00073F22" w:rsidRPr="00073F22">
        <w:rPr>
          <w:rFonts w:ascii="Times New Roman" w:eastAsia="Times New Roman" w:hAnsi="Times New Roman" w:cs="Times New Roman"/>
          <w:sz w:val="26"/>
          <w:szCs w:val="26"/>
        </w:rPr>
        <w:t>space.</w:t>
      </w:r>
      <w:r w:rsidR="00073F22" w:rsidRPr="00073F22">
        <w:rPr>
          <w:rFonts w:ascii="Times New Roman" w:eastAsia="Times New Roman" w:hAnsi="Times New Roman" w:cs="Times New Roman"/>
          <w:sz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291D93" w:rsidRPr="00291D93" w:rsidRDefault="00073F22" w:rsidP="00291D9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73F22">
        <w:rPr>
          <w:rFonts w:ascii="Times New Roman" w:eastAsia="Times New Roman" w:hAnsi="Times New Roman" w:cs="Times New Roman"/>
          <w:sz w:val="26"/>
          <w:szCs w:val="26"/>
        </w:rPr>
        <w:t>"Demand looks promising going forward with increasing business confidence backed by policy announcements and government initiatives. The first quarter began by recording a high pre-commitment level</w:t>
      </w:r>
      <w:r w:rsidR="008C08E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73F22">
        <w:rPr>
          <w:rFonts w:ascii="Times New Roman" w:eastAsia="Times New Roman" w:hAnsi="Times New Roman" w:cs="Times New Roman"/>
          <w:sz w:val="26"/>
          <w:szCs w:val="26"/>
        </w:rPr>
        <w:t xml:space="preserve"> ensuring healthy momentum the next few quarters' especially in south</w:t>
      </w:r>
      <w:r w:rsidR="008C08EE">
        <w:rPr>
          <w:rFonts w:ascii="Times New Roman" w:eastAsia="Times New Roman" w:hAnsi="Times New Roman" w:cs="Times New Roman"/>
          <w:sz w:val="26"/>
          <w:szCs w:val="26"/>
        </w:rPr>
        <w:t>ern</w:t>
      </w:r>
      <w:r w:rsidRPr="00073F22">
        <w:rPr>
          <w:rFonts w:ascii="Times New Roman" w:eastAsia="Times New Roman" w:hAnsi="Times New Roman" w:cs="Times New Roman"/>
          <w:sz w:val="26"/>
          <w:szCs w:val="26"/>
        </w:rPr>
        <w:t xml:space="preserve"> cities," </w:t>
      </w:r>
      <w:proofErr w:type="spellStart"/>
      <w:r w:rsidRPr="00073F22">
        <w:rPr>
          <w:rFonts w:ascii="Times New Roman" w:eastAsia="Times New Roman" w:hAnsi="Times New Roman" w:cs="Times New Roman"/>
          <w:sz w:val="26"/>
          <w:szCs w:val="26"/>
        </w:rPr>
        <w:t>Ritesh</w:t>
      </w:r>
      <w:proofErr w:type="spellEnd"/>
      <w:r w:rsidRPr="00073F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73F22">
        <w:rPr>
          <w:rFonts w:ascii="Times New Roman" w:eastAsia="Times New Roman" w:hAnsi="Times New Roman" w:cs="Times New Roman"/>
          <w:sz w:val="26"/>
          <w:szCs w:val="26"/>
        </w:rPr>
        <w:t>Sachdev</w:t>
      </w:r>
      <w:proofErr w:type="spellEnd"/>
      <w:r w:rsidRPr="00073F22">
        <w:rPr>
          <w:rFonts w:ascii="Times New Roman" w:eastAsia="Times New Roman" w:hAnsi="Times New Roman" w:cs="Times New Roman"/>
          <w:sz w:val="26"/>
          <w:szCs w:val="26"/>
        </w:rPr>
        <w:t>, Managing Director, Tenant Advisory Group, India, Cushman &amp; Wakefield. "Moreover, the year 2016 began with some outright purchases in</w:t>
      </w:r>
      <w:r w:rsidR="008C08EE">
        <w:rPr>
          <w:rFonts w:ascii="Times New Roman" w:eastAsia="Times New Roman" w:hAnsi="Times New Roman" w:cs="Times New Roman"/>
          <w:sz w:val="26"/>
          <w:szCs w:val="26"/>
        </w:rPr>
        <w:t xml:space="preserve"> top cities, which have fue</w:t>
      </w:r>
      <w:r w:rsidRPr="00073F22">
        <w:rPr>
          <w:rFonts w:ascii="Times New Roman" w:eastAsia="Times New Roman" w:hAnsi="Times New Roman" w:cs="Times New Roman"/>
          <w:sz w:val="26"/>
          <w:szCs w:val="26"/>
        </w:rPr>
        <w:t>led optimism into the sector. Overall, with the government streamlining the taxation structure of REITS, the market might witness higher investment activity towards the later end of the year."</w:t>
      </w:r>
      <w:r w:rsidRPr="00073F22">
        <w:rPr>
          <w:rFonts w:ascii="Times New Roman" w:eastAsia="Times New Roman" w:hAnsi="Times New Roman" w:cs="Times New Roman"/>
          <w:sz w:val="26"/>
        </w:rPr>
        <w:t> </w:t>
      </w:r>
      <w:r w:rsidRPr="00073F22">
        <w:rPr>
          <w:rFonts w:ascii="Times New Roman" w:eastAsia="Times New Roman" w:hAnsi="Times New Roman" w:cs="Times New Roman"/>
          <w:sz w:val="26"/>
          <w:szCs w:val="26"/>
        </w:rPr>
        <w:br/>
      </w:r>
      <w:r w:rsidRPr="00073F22">
        <w:rPr>
          <w:rFonts w:ascii="Times New Roman" w:eastAsia="Times New Roman" w:hAnsi="Times New Roman" w:cs="Times New Roman"/>
          <w:sz w:val="26"/>
          <w:szCs w:val="26"/>
        </w:rPr>
        <w:br/>
        <w:t xml:space="preserve">IT-ITES sector continued to fuel the Hyderabad market, leading </w:t>
      </w:r>
      <w:r w:rsidR="008C08EE">
        <w:rPr>
          <w:rFonts w:ascii="Times New Roman" w:eastAsia="Times New Roman" w:hAnsi="Times New Roman" w:cs="Times New Roman"/>
          <w:sz w:val="26"/>
          <w:szCs w:val="26"/>
        </w:rPr>
        <w:t xml:space="preserve">to a 107% increase in demand of </w:t>
      </w:r>
      <w:r w:rsidRPr="00073F22">
        <w:rPr>
          <w:rFonts w:ascii="Times New Roman" w:eastAsia="Times New Roman" w:hAnsi="Times New Roman" w:cs="Times New Roman"/>
          <w:sz w:val="26"/>
          <w:szCs w:val="26"/>
        </w:rPr>
        <w:t>2.3 million sq ft. The city saw heightened net absorption of 1.2 million sq ft and equivalent pre-commitments during the quarter owing to greater business confidence. After four quarters of staggered supply levels, supply too increased by 49% t</w:t>
      </w:r>
      <w:r w:rsidR="008C08EE">
        <w:rPr>
          <w:rFonts w:ascii="Times New Roman" w:eastAsia="Times New Roman" w:hAnsi="Times New Roman" w:cs="Times New Roman"/>
          <w:sz w:val="26"/>
          <w:szCs w:val="26"/>
        </w:rPr>
        <w:t>o 1.4 million sq ft during the March quarter</w:t>
      </w:r>
      <w:r w:rsidRPr="00073F22">
        <w:rPr>
          <w:rFonts w:ascii="Times New Roman" w:eastAsia="Times New Roman" w:hAnsi="Times New Roman" w:cs="Times New Roman"/>
          <w:sz w:val="26"/>
          <w:szCs w:val="26"/>
        </w:rPr>
        <w:t>.</w:t>
      </w:r>
      <w:r w:rsidR="008C08EE" w:rsidRPr="008C08EE">
        <w:t xml:space="preserve"> </w:t>
      </w:r>
    </w:p>
    <w:p w:rsidR="00073F22" w:rsidRPr="00073F22" w:rsidRDefault="008C08EE" w:rsidP="008C08EE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3259455" cy="2444727"/>
            <wp:effectExtent l="38100" t="57150" r="112395" b="88923"/>
            <wp:docPr id="8" name="Picture 4" descr="https://40.media.tumblr.com/b47fdd6209f71da2124c61ae7a04af80/tumblr_n8vzqsrA4l1tch9sio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0.media.tumblr.com/b47fdd6209f71da2124c61ae7a04af80/tumblr_n8vzqsrA4l1tch9sio1_4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4447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3F22" w:rsidRPr="00073F22" w:rsidRDefault="00073F22" w:rsidP="008C08EE">
      <w:pPr>
        <w:pStyle w:val="Caption1"/>
        <w:shd w:val="clear" w:color="auto" w:fill="FFFFFF"/>
        <w:spacing w:before="0" w:beforeAutospacing="0" w:after="138" w:afterAutospacing="0" w:line="318" w:lineRule="atLeast"/>
        <w:jc w:val="both"/>
        <w:textAlignment w:val="baseline"/>
        <w:rPr>
          <w:szCs w:val="40"/>
        </w:rPr>
      </w:pPr>
      <w:r w:rsidRPr="00073F22">
        <w:rPr>
          <w:rFonts w:ascii="inherit" w:hAnsi="inherit" w:cs="Arial"/>
          <w:color w:val="333333"/>
          <w:sz w:val="15"/>
          <w:szCs w:val="15"/>
          <w:bdr w:val="none" w:sz="0" w:space="0" w:color="auto" w:frame="1"/>
        </w:rPr>
        <w:lastRenderedPageBreak/>
        <w:br/>
      </w:r>
    </w:p>
    <w:sectPr w:rsidR="00073F22" w:rsidRPr="00073F22" w:rsidSect="00F30BC3">
      <w:type w:val="continuous"/>
      <w:pgSz w:w="12240" w:h="15840"/>
      <w:pgMar w:top="245" w:right="907" w:bottom="245" w:left="34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073F22"/>
    <w:rsid w:val="000178A2"/>
    <w:rsid w:val="000209A9"/>
    <w:rsid w:val="00024D76"/>
    <w:rsid w:val="000440DD"/>
    <w:rsid w:val="00045410"/>
    <w:rsid w:val="00047206"/>
    <w:rsid w:val="00052C8C"/>
    <w:rsid w:val="000562D1"/>
    <w:rsid w:val="00056EB0"/>
    <w:rsid w:val="00062179"/>
    <w:rsid w:val="0006286B"/>
    <w:rsid w:val="00073F22"/>
    <w:rsid w:val="000901C6"/>
    <w:rsid w:val="000903C2"/>
    <w:rsid w:val="000B080F"/>
    <w:rsid w:val="000B0EE1"/>
    <w:rsid w:val="000B3A31"/>
    <w:rsid w:val="000B474E"/>
    <w:rsid w:val="000B49E4"/>
    <w:rsid w:val="000B5F98"/>
    <w:rsid w:val="000C46FF"/>
    <w:rsid w:val="000C6CC1"/>
    <w:rsid w:val="000C766A"/>
    <w:rsid w:val="000F1FBB"/>
    <w:rsid w:val="000F39D5"/>
    <w:rsid w:val="00104CDE"/>
    <w:rsid w:val="00112112"/>
    <w:rsid w:val="0013035C"/>
    <w:rsid w:val="001344C8"/>
    <w:rsid w:val="0013526C"/>
    <w:rsid w:val="001422D3"/>
    <w:rsid w:val="0014641C"/>
    <w:rsid w:val="001523F7"/>
    <w:rsid w:val="00153C0F"/>
    <w:rsid w:val="00161A85"/>
    <w:rsid w:val="001645A7"/>
    <w:rsid w:val="00173FAC"/>
    <w:rsid w:val="00183214"/>
    <w:rsid w:val="00192DBD"/>
    <w:rsid w:val="00192EA6"/>
    <w:rsid w:val="001A1007"/>
    <w:rsid w:val="001D4294"/>
    <w:rsid w:val="001F25C2"/>
    <w:rsid w:val="001F4F60"/>
    <w:rsid w:val="00206CAB"/>
    <w:rsid w:val="00210DD9"/>
    <w:rsid w:val="00212714"/>
    <w:rsid w:val="00213466"/>
    <w:rsid w:val="002152FD"/>
    <w:rsid w:val="00224213"/>
    <w:rsid w:val="00224F65"/>
    <w:rsid w:val="00233A79"/>
    <w:rsid w:val="00234D7D"/>
    <w:rsid w:val="00237C12"/>
    <w:rsid w:val="0024268B"/>
    <w:rsid w:val="00252FF4"/>
    <w:rsid w:val="00253670"/>
    <w:rsid w:val="00263DBC"/>
    <w:rsid w:val="0027118C"/>
    <w:rsid w:val="00271B81"/>
    <w:rsid w:val="00273F06"/>
    <w:rsid w:val="00273F57"/>
    <w:rsid w:val="0027671D"/>
    <w:rsid w:val="002767B8"/>
    <w:rsid w:val="00280DA4"/>
    <w:rsid w:val="00281A92"/>
    <w:rsid w:val="002821DC"/>
    <w:rsid w:val="002918C7"/>
    <w:rsid w:val="00291D93"/>
    <w:rsid w:val="002A2CEA"/>
    <w:rsid w:val="002B044F"/>
    <w:rsid w:val="002B60D2"/>
    <w:rsid w:val="002B644F"/>
    <w:rsid w:val="002C18D1"/>
    <w:rsid w:val="002E22F5"/>
    <w:rsid w:val="00303BAA"/>
    <w:rsid w:val="00303D87"/>
    <w:rsid w:val="00314FE9"/>
    <w:rsid w:val="00315F07"/>
    <w:rsid w:val="0031672C"/>
    <w:rsid w:val="00337AB6"/>
    <w:rsid w:val="003570FE"/>
    <w:rsid w:val="00371128"/>
    <w:rsid w:val="00371D22"/>
    <w:rsid w:val="003837DB"/>
    <w:rsid w:val="00385C26"/>
    <w:rsid w:val="003959D3"/>
    <w:rsid w:val="0039764B"/>
    <w:rsid w:val="003B6F06"/>
    <w:rsid w:val="003C02E2"/>
    <w:rsid w:val="003C08AD"/>
    <w:rsid w:val="003C2E75"/>
    <w:rsid w:val="003D12E7"/>
    <w:rsid w:val="003E7AA3"/>
    <w:rsid w:val="00406FFD"/>
    <w:rsid w:val="0041728A"/>
    <w:rsid w:val="00421AEF"/>
    <w:rsid w:val="0042504A"/>
    <w:rsid w:val="00435E93"/>
    <w:rsid w:val="00444854"/>
    <w:rsid w:val="00453322"/>
    <w:rsid w:val="0046207E"/>
    <w:rsid w:val="00463F2D"/>
    <w:rsid w:val="00472196"/>
    <w:rsid w:val="0047288B"/>
    <w:rsid w:val="00472DC2"/>
    <w:rsid w:val="00483E67"/>
    <w:rsid w:val="00487988"/>
    <w:rsid w:val="004A3E33"/>
    <w:rsid w:val="004A74C1"/>
    <w:rsid w:val="004C03DB"/>
    <w:rsid w:val="004C0B1D"/>
    <w:rsid w:val="004D2DE7"/>
    <w:rsid w:val="004D6DB3"/>
    <w:rsid w:val="004E059E"/>
    <w:rsid w:val="004E49A6"/>
    <w:rsid w:val="004E4BF0"/>
    <w:rsid w:val="004E4FFD"/>
    <w:rsid w:val="004E6086"/>
    <w:rsid w:val="004F41BD"/>
    <w:rsid w:val="004F5CD8"/>
    <w:rsid w:val="004F77F5"/>
    <w:rsid w:val="005013B6"/>
    <w:rsid w:val="00520D63"/>
    <w:rsid w:val="00521034"/>
    <w:rsid w:val="005420BA"/>
    <w:rsid w:val="00560674"/>
    <w:rsid w:val="00575C73"/>
    <w:rsid w:val="00577C07"/>
    <w:rsid w:val="00584134"/>
    <w:rsid w:val="00593FDC"/>
    <w:rsid w:val="005A1FF7"/>
    <w:rsid w:val="005A6796"/>
    <w:rsid w:val="005C01B6"/>
    <w:rsid w:val="005C0403"/>
    <w:rsid w:val="005C0E7B"/>
    <w:rsid w:val="005D00E5"/>
    <w:rsid w:val="005E3901"/>
    <w:rsid w:val="005E7569"/>
    <w:rsid w:val="005F018E"/>
    <w:rsid w:val="00601DF8"/>
    <w:rsid w:val="00612505"/>
    <w:rsid w:val="006358B3"/>
    <w:rsid w:val="006362AB"/>
    <w:rsid w:val="00644C84"/>
    <w:rsid w:val="00646DAF"/>
    <w:rsid w:val="00647F77"/>
    <w:rsid w:val="0065494B"/>
    <w:rsid w:val="00657F6D"/>
    <w:rsid w:val="0066325A"/>
    <w:rsid w:val="00666BE9"/>
    <w:rsid w:val="00672D51"/>
    <w:rsid w:val="0068091C"/>
    <w:rsid w:val="006826B2"/>
    <w:rsid w:val="006845E6"/>
    <w:rsid w:val="00694D42"/>
    <w:rsid w:val="006B172E"/>
    <w:rsid w:val="006B4D34"/>
    <w:rsid w:val="006B573C"/>
    <w:rsid w:val="006C168E"/>
    <w:rsid w:val="006C2FF1"/>
    <w:rsid w:val="006F6851"/>
    <w:rsid w:val="00700B0A"/>
    <w:rsid w:val="0071501F"/>
    <w:rsid w:val="00716A0E"/>
    <w:rsid w:val="0073032E"/>
    <w:rsid w:val="00730E1F"/>
    <w:rsid w:val="00733559"/>
    <w:rsid w:val="00733880"/>
    <w:rsid w:val="00735CBF"/>
    <w:rsid w:val="00736C4E"/>
    <w:rsid w:val="00737DBC"/>
    <w:rsid w:val="00744AFB"/>
    <w:rsid w:val="00745760"/>
    <w:rsid w:val="00747397"/>
    <w:rsid w:val="00750D07"/>
    <w:rsid w:val="00753E05"/>
    <w:rsid w:val="007556F8"/>
    <w:rsid w:val="00755B2B"/>
    <w:rsid w:val="00767BA5"/>
    <w:rsid w:val="00770545"/>
    <w:rsid w:val="00770DCE"/>
    <w:rsid w:val="0078270B"/>
    <w:rsid w:val="0079033D"/>
    <w:rsid w:val="00793161"/>
    <w:rsid w:val="007A33AD"/>
    <w:rsid w:val="007B102E"/>
    <w:rsid w:val="007B3D58"/>
    <w:rsid w:val="007B4C73"/>
    <w:rsid w:val="007C2B57"/>
    <w:rsid w:val="007D02FB"/>
    <w:rsid w:val="007D7A6C"/>
    <w:rsid w:val="007F5C0A"/>
    <w:rsid w:val="00805837"/>
    <w:rsid w:val="0081461D"/>
    <w:rsid w:val="00814D3E"/>
    <w:rsid w:val="00817D9F"/>
    <w:rsid w:val="008222BA"/>
    <w:rsid w:val="00823519"/>
    <w:rsid w:val="00827327"/>
    <w:rsid w:val="00834734"/>
    <w:rsid w:val="00836294"/>
    <w:rsid w:val="008372E5"/>
    <w:rsid w:val="0085192B"/>
    <w:rsid w:val="008567D6"/>
    <w:rsid w:val="008609DE"/>
    <w:rsid w:val="008611AC"/>
    <w:rsid w:val="00874640"/>
    <w:rsid w:val="00884526"/>
    <w:rsid w:val="0088798B"/>
    <w:rsid w:val="00892C14"/>
    <w:rsid w:val="00894AC1"/>
    <w:rsid w:val="008A3793"/>
    <w:rsid w:val="008A5B3A"/>
    <w:rsid w:val="008A5EEE"/>
    <w:rsid w:val="008B2192"/>
    <w:rsid w:val="008B7D4A"/>
    <w:rsid w:val="008C08EE"/>
    <w:rsid w:val="008C217E"/>
    <w:rsid w:val="008C3969"/>
    <w:rsid w:val="008F7CCD"/>
    <w:rsid w:val="00914060"/>
    <w:rsid w:val="00920A8A"/>
    <w:rsid w:val="009346E4"/>
    <w:rsid w:val="0094053B"/>
    <w:rsid w:val="0094146E"/>
    <w:rsid w:val="00944896"/>
    <w:rsid w:val="00944EB4"/>
    <w:rsid w:val="00957914"/>
    <w:rsid w:val="009870D0"/>
    <w:rsid w:val="00987A41"/>
    <w:rsid w:val="009A299C"/>
    <w:rsid w:val="009A32BD"/>
    <w:rsid w:val="009A32C3"/>
    <w:rsid w:val="009A79EC"/>
    <w:rsid w:val="009B050F"/>
    <w:rsid w:val="009B0938"/>
    <w:rsid w:val="009B3A19"/>
    <w:rsid w:val="009B6C34"/>
    <w:rsid w:val="009D0E5B"/>
    <w:rsid w:val="009D652C"/>
    <w:rsid w:val="009D719F"/>
    <w:rsid w:val="009E02E9"/>
    <w:rsid w:val="009E7509"/>
    <w:rsid w:val="009F4447"/>
    <w:rsid w:val="00A02E23"/>
    <w:rsid w:val="00A03480"/>
    <w:rsid w:val="00A12091"/>
    <w:rsid w:val="00A24D5B"/>
    <w:rsid w:val="00A350B1"/>
    <w:rsid w:val="00A41F62"/>
    <w:rsid w:val="00A45E68"/>
    <w:rsid w:val="00A47D5B"/>
    <w:rsid w:val="00A71CBE"/>
    <w:rsid w:val="00A74178"/>
    <w:rsid w:val="00A83B53"/>
    <w:rsid w:val="00A84CD7"/>
    <w:rsid w:val="00A94309"/>
    <w:rsid w:val="00A95F84"/>
    <w:rsid w:val="00AA5B7E"/>
    <w:rsid w:val="00AB03F4"/>
    <w:rsid w:val="00AC0EA5"/>
    <w:rsid w:val="00AC7B91"/>
    <w:rsid w:val="00AE1919"/>
    <w:rsid w:val="00AF3CEC"/>
    <w:rsid w:val="00AF71F5"/>
    <w:rsid w:val="00B14D5F"/>
    <w:rsid w:val="00B277C8"/>
    <w:rsid w:val="00B508D0"/>
    <w:rsid w:val="00B50DE8"/>
    <w:rsid w:val="00B53F8F"/>
    <w:rsid w:val="00B61110"/>
    <w:rsid w:val="00B70EAF"/>
    <w:rsid w:val="00B82E40"/>
    <w:rsid w:val="00BA12B4"/>
    <w:rsid w:val="00BA56E3"/>
    <w:rsid w:val="00BA720B"/>
    <w:rsid w:val="00BA7787"/>
    <w:rsid w:val="00BB10C0"/>
    <w:rsid w:val="00BC2EB5"/>
    <w:rsid w:val="00BD32E4"/>
    <w:rsid w:val="00BF5D68"/>
    <w:rsid w:val="00C02073"/>
    <w:rsid w:val="00C1017A"/>
    <w:rsid w:val="00C23153"/>
    <w:rsid w:val="00C23483"/>
    <w:rsid w:val="00C421E2"/>
    <w:rsid w:val="00C44048"/>
    <w:rsid w:val="00C93CC8"/>
    <w:rsid w:val="00C97FFA"/>
    <w:rsid w:val="00CA1634"/>
    <w:rsid w:val="00CB7597"/>
    <w:rsid w:val="00CC2A3D"/>
    <w:rsid w:val="00CC5B0D"/>
    <w:rsid w:val="00CD1F33"/>
    <w:rsid w:val="00CD31EC"/>
    <w:rsid w:val="00CD56EB"/>
    <w:rsid w:val="00CF7F2B"/>
    <w:rsid w:val="00D04381"/>
    <w:rsid w:val="00D067D5"/>
    <w:rsid w:val="00D1488D"/>
    <w:rsid w:val="00D24670"/>
    <w:rsid w:val="00D3203E"/>
    <w:rsid w:val="00D43E68"/>
    <w:rsid w:val="00D51981"/>
    <w:rsid w:val="00D54EC8"/>
    <w:rsid w:val="00D57CEE"/>
    <w:rsid w:val="00D61B90"/>
    <w:rsid w:val="00D677D5"/>
    <w:rsid w:val="00D8074C"/>
    <w:rsid w:val="00D86C51"/>
    <w:rsid w:val="00D87BBC"/>
    <w:rsid w:val="00D94BBA"/>
    <w:rsid w:val="00DA14DC"/>
    <w:rsid w:val="00DB3759"/>
    <w:rsid w:val="00DB4491"/>
    <w:rsid w:val="00DB51E0"/>
    <w:rsid w:val="00DD4C19"/>
    <w:rsid w:val="00DE0045"/>
    <w:rsid w:val="00E05B75"/>
    <w:rsid w:val="00E16E10"/>
    <w:rsid w:val="00E22587"/>
    <w:rsid w:val="00E37F6F"/>
    <w:rsid w:val="00E40206"/>
    <w:rsid w:val="00E433FC"/>
    <w:rsid w:val="00E44CE0"/>
    <w:rsid w:val="00E47AAF"/>
    <w:rsid w:val="00E50801"/>
    <w:rsid w:val="00E54344"/>
    <w:rsid w:val="00E6189E"/>
    <w:rsid w:val="00E62DB2"/>
    <w:rsid w:val="00E7244A"/>
    <w:rsid w:val="00E95C62"/>
    <w:rsid w:val="00EA1128"/>
    <w:rsid w:val="00EA39DA"/>
    <w:rsid w:val="00EB433B"/>
    <w:rsid w:val="00EC1F05"/>
    <w:rsid w:val="00EC7957"/>
    <w:rsid w:val="00EE3EDB"/>
    <w:rsid w:val="00EE68B1"/>
    <w:rsid w:val="00EF1A53"/>
    <w:rsid w:val="00EF49FF"/>
    <w:rsid w:val="00F1201D"/>
    <w:rsid w:val="00F16AF5"/>
    <w:rsid w:val="00F21DB2"/>
    <w:rsid w:val="00F25A43"/>
    <w:rsid w:val="00F30B3B"/>
    <w:rsid w:val="00F37F07"/>
    <w:rsid w:val="00F47374"/>
    <w:rsid w:val="00F547B5"/>
    <w:rsid w:val="00F64E11"/>
    <w:rsid w:val="00F65103"/>
    <w:rsid w:val="00F76BEA"/>
    <w:rsid w:val="00F80194"/>
    <w:rsid w:val="00FA1770"/>
    <w:rsid w:val="00FA607A"/>
    <w:rsid w:val="00FA76E1"/>
    <w:rsid w:val="00FB55E2"/>
    <w:rsid w:val="00FB6C05"/>
    <w:rsid w:val="00FB75F0"/>
    <w:rsid w:val="00FC6883"/>
    <w:rsid w:val="00FE3B81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22"/>
  </w:style>
  <w:style w:type="paragraph" w:styleId="Heading1">
    <w:name w:val="heading 1"/>
    <w:basedOn w:val="Normal"/>
    <w:link w:val="Heading1Char"/>
    <w:uiPriority w:val="9"/>
    <w:qFormat/>
    <w:rsid w:val="00073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3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le">
    <w:name w:val="subtle"/>
    <w:basedOn w:val="DefaultParagraphFont"/>
    <w:rsid w:val="00073F22"/>
  </w:style>
  <w:style w:type="paragraph" w:customStyle="1" w:styleId="Caption1">
    <w:name w:val="Caption1"/>
    <w:basedOn w:val="Normal"/>
    <w:rsid w:val="0007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7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73F22"/>
  </w:style>
  <w:style w:type="character" w:styleId="Hyperlink">
    <w:name w:val="Hyperlink"/>
    <w:basedOn w:val="DefaultParagraphFont"/>
    <w:uiPriority w:val="99"/>
    <w:semiHidden/>
    <w:unhideWhenUsed/>
    <w:rsid w:val="00073F22"/>
    <w:rPr>
      <w:color w:val="0000FF"/>
      <w:u w:val="single"/>
    </w:rPr>
  </w:style>
  <w:style w:type="character" w:customStyle="1" w:styleId="font-controls">
    <w:name w:val="font-controls"/>
    <w:basedOn w:val="DefaultParagraphFont"/>
    <w:rsid w:val="00073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61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416">
          <w:marLeft w:val="0"/>
          <w:marRight w:val="0"/>
          <w:marTop w:val="0"/>
          <w:marBottom w:val="306"/>
          <w:divBdr>
            <w:top w:val="single" w:sz="6" w:space="7" w:color="DBDBDB"/>
            <w:left w:val="single" w:sz="2" w:space="0" w:color="DBDBDB"/>
            <w:bottom w:val="single" w:sz="6" w:space="7" w:color="DBDBDB"/>
            <w:right w:val="single" w:sz="2" w:space="0" w:color="DBDBD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DE0C-B135-40E5-9EA6-0D7945AC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9</cp:revision>
  <dcterms:created xsi:type="dcterms:W3CDTF">2016-04-21T05:05:00Z</dcterms:created>
  <dcterms:modified xsi:type="dcterms:W3CDTF">2016-04-21T05:53:00Z</dcterms:modified>
</cp:coreProperties>
</file>